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000000"/>
              <w:left w:val="none" w:sz="5" w:space="0" w:color="000000"/>
              <w:bottom w:val="single" w:sz="10" w:space="0" w:color="000000"/>
              <w:right w:val="none" w:sz="5" w:space="0" w:color="000000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МБУК г.о. Жигулевск «Многофункциональный культурный центр»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885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организации, измерялись посредством: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оценки контента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о деятельности организации, размещенной на информационных стендах в помещении и на территории организации;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оценки контента информации о деятельности организации, размещенной на официальном сайте организации;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определения наличия на официально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сайте организации информации о дистанционных способах обратной связи и взаимодействия с получателями услуг, а также оценки их функционирования (телефона; электронной почты; электронных сервисов (форма для подачи электронного обращения (жалобы, предложени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е);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определения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и на официальном сайте организации (в % от общего числа опрошенных получателей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AE3D6E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1.1.  Соответствие информации о деятельности организации, размещенной на информационных стендах в помещении и на территории организации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 со ст. 36.2. Основы законодательства Российской Федерации о культуре (утв. ВС РФ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09.10.1992 N 3612-1) (ред. от 30.04.2021) на информационных стендах организаций культуры необходимо разместить 13 документов.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документов, размещенных на стенде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Необходимо обеспечить размещение на стенде следующих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документов: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Сведения о видах предоставляемых услуг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jc w:val="center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AE3D6E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1.2. Соответствие информации о деятельности организации, размещенной на официальном сайте организации в сети «Интернет»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приказом Минкультуры России от 20.02.2015 №277 «Об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рации, органов местного самоуправления и организаций культуры в сети «Интернет» на официальном сайте организации необходимо разместить 19 документов.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документов, размещенных на сайте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Необходимо обеспечить размещение 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сайте следующих документов: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2"/>
              </w:rPr>
              <w:t>- Информация о планируемых мероприятиях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2"/>
              </w:rPr>
              <w:t>- План по улучшению качества работы организации</w:t>
            </w:r>
          </w:p>
        </w:tc>
      </w:tr>
    </w:tbl>
    <w:p w:rsidR="009A48C3" w:rsidRDefault="00AE3D6E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1.3. Наличие на официальном сайте организации информации о дистанционных способах обратной связи и взаимодействия с получателями услуг 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их функционирование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ходе независимой оценки проверялось функционирование 5-ти дистанционных способов обратной связи: посредством телефона, электронной почты, электронных сервисов обратной связи на сайте (форма обратной связи, онлайн-консультант и пр.),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раздела «часто задаваемые вопросы», выражения получателем услуг мнения о качестве условий оказания услуг (наличие на сайте анкеты для опроса граждан или гиперссылки на нее).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Число способов обратной связи, функционирующих на момент оценки: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ходе проверки организации были выявлены недостатки в функционировании следующих способов коммуникации с получателями услуг: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ходе оценки зафиксирован факт отсутствия раздела «Часто задаваемые вопросы». В целях обеспечения открытости и доступности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рмации об организации целесообразно разместить данный раздел на сайте организации.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9A48C3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9A48C3">
            <w:pPr>
              <w:wordWrap w:val="0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9A48C3">
            <w:pPr>
              <w:wordWrap w:val="0"/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9A48C3">
            <w:pPr>
              <w:wordWrap w:val="0"/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9A48C3">
            <w:pPr>
              <w:wordWrap w:val="0"/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9A48C3">
            <w:pPr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9A48C3">
            <w:pPr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9A48C3">
            <w:pPr>
              <w:wordWrap w:val="0"/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9A48C3" w:rsidRDefault="009A48C3">
            <w:pPr>
              <w:wordWrap w:val="0"/>
              <w:jc w:val="center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1.4. Удовлетворенность открытостью, полнотой и доступностью информации об организации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опроса получателей услуг зафиксирована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получателей услуг, удовлетворенных открытостью, полнотой и доступностью информации, размещенной на информационных стендах: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открытостью, полнотой и доступностью информации и 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постоянного повышения, необходимо соблюдать определенные требования. Информация должна быть актуальной, своевременной и содержательной.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информации, размещенной на сайте организации: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открытостью, полнотой и доступностью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информации, размещенной на сайте организации, и его повышения, необходимо осуществлять контроль за своевременным обновлением контента сайта.  Необходимо проводить диагностику удобства навигации по сайту.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творенности получателей услуг информационной политикой организации.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</w:tbl>
    <w:p w:rsidR="009A48C3" w:rsidRDefault="00AE3D6E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 КОМФОРТНОСТЬ УСЛОВИЙ ПРЕДОСТАВЛЕНИЯ УСЛУГ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 Обеспечение в организации комфортных условий для предоставления услуг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и качество обеспечения комфортных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условий предоставления услуг определялся посредством экспертной оценки внутренних помещений и внешней территории организации. Оценивалось наличие следующих условий: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зоны ожидания (отдыха);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и понятность навигации внутри организации;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доступная питьевая вода;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и доступность санитарно-гигиенических помещений;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и достаточность гардеробов;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санитарное состояние помещений организаций;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транспортная доступность (возможность доехать до организации на общественном транспорт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наличие парковки);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доступность записи на получение услуги (по телефону, на официальном сайте организации и пр.).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условий комфортности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  <w:jc w:val="center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повышения уровня комфортности необходимо обеспечить следующие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условия: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наличие и доступность питьевой воды;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2.2. Время ожидания предоставления услуги:</w:t>
            </w: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 «Время ожидания предоставления услуги» в сфере культуры не установлен.  Значение показателя рассчитывается как среднее арифметическое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баллов по измеряемым критериям «Обеспечение в организации социальной сферы комфортных условий для предоставления услуг» и «Доля получателей услуг, удовлетворенных комфортностью предоставления услуг организацией социальной сферы».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AE3D6E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2.3. Удовлетворенность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комфортностью предоставления услуг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комфортностью предоставления услуг: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15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05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18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27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61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68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комфортностью условий оказания услуг и для его повышения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на регулярной основе осуществлять благоустройство и поддержание в надлежащем состоянии здания и помещений (в том числе, санитарно-гигиенических зон, в которых необходимо размещать автоматические сушилки или бумажные полотенца, мыло, туалетную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бумагу), территории, прилегающей к зданию организации, следить за состоянием мебели, доступностью питьевой воды и понятностью навигации внутри помещений организации.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комфорт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ностью условий оказания услуг.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/>
        </w:tc>
        <w:tc>
          <w:tcPr>
            <w:tcW w:w="115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</w:tbl>
    <w:p w:rsidR="009A48C3" w:rsidRDefault="00AE3D6E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 ДОСТУПНОСТЬ УСЛУГ ДЛЯ ИНВАЛИДОВ</w:t>
            </w: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возможностями, 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также условий доступности, позволяющих инвалидам получать услуги наравне с другими.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9A48C3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9A48C3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9A48C3"/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9A48C3"/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9A48C3"/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9A48C3"/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9A48C3"/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9A48C3"/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9A48C3"/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AE3D6E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3.1. 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независимой оценки качества условий оказания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 оценивались следующие элементы доступной среды: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оборудование входных групп пандусами (подъемными платформами);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выделенных стоянок для автотранспортных средств инвалидов;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наличие адаптированных лифтов, поручней, наличие расширенных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дверных проемов;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сменных кресел-колясок;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специально оборудованных для инвалидов санитарно-гигиенических помещений.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/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элементов доступной среды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000000" w:fill="FFFFFF"/>
            <w:vAlign w:val="bottom"/>
          </w:tcPr>
          <w:p w:rsidR="009A48C3" w:rsidRDefault="009A48C3">
            <w:pPr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обеспечения доступной среды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маломобильных получателей услуг необходимо оборудовать помещения и территорию организации следующими элементами: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оборудование входных групп пандусами (подъемными платформами)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наличие сменных кресел-колясок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наличие специально оборудованных для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нвалидов санитарно-гигиенических помещений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AE3D6E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Наряду с оценкой доступности помещений и прилегающих территорий организации производилась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условий доступности, позволяющих инвалидам получать услуги наравне с другими. Учитывались следующие условия доступности услуг: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дублирование для инвалидов по слуху и зрению звуковой и зрительной информации;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дублирование надписей, знаков и иной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кстовой и графической информации знаками, выполненными рельефно-точечным шрифтом Брайля;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возможность предоставления инвалидам по слуху (слуху и зрению) услуг сурдопереводчика (тифлосурдопереводчика);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альтернативной версии официального сайта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анизации для инвалидов по зрению;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помощь, оказываемая работниками, прошедшими обучение по сопровождению инвалидов в помещении организации;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возможности предоставления услуги в дистанционном режиме или на дому.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/>
        </w:tc>
        <w:tc>
          <w:tcPr>
            <w:tcW w:w="115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Количество условий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доступности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обеспечения условий доступности, позволяющих инвалидам получать услуги наравне с другими, необходимо обеспечить следующие условия: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</w:tr>
    </w:tbl>
    <w:p w:rsidR="009A48C3" w:rsidRDefault="00AE3D6E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9A48C3" w:rsidRDefault="00AE3D6E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3.3. Удовлетворенность доступностью услуг для инвалидов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получателей услуг, удовлетворенных доступностью услуг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состоянием элементов доступной среды и обеспечением условий, позволяющих инвалидам получать услуги наравне с другими.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доступностью услуг для инвалидов.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9A48C3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9A48C3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9A48C3"/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9A48C3"/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9A48C3"/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9A48C3"/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9A48C3"/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9A48C3"/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9A48C3"/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«Доброжелательность, вежливость работников организации» формируется за счет получения субъективных оценок получателей услуг, собираемых в ходе опроса.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/>
        </w:tc>
        <w:tc>
          <w:tcPr>
            <w:tcW w:w="115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получателей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(учреждение):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получателей услуг, удовлетворенных доброжелательностью,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получение консультации по оказываемым услугам и пр.):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доброжелательностью и вежливостью сотрудников организации и повышения этого уровня важно выстраивать с получателями грамотную коммуникацию. Основным принципом взаимоотношений между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получателем услуг и представителем организации должен стать принцип уважения к личности. Культура общения  проявляется в умении выслушать, в проявлении отзывчивости и сопереживания.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услуг доброжелательностью и вежливостью сотрудников организации.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</w:tbl>
    <w:p w:rsidR="009A48C3" w:rsidRDefault="00AE3D6E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 УДОВЛЕТВОРЕННОСТЬ УСЛОВИЯМИ ОКАЗАНИЯ УСЛУГ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/>
        </w:tc>
        <w:tc>
          <w:tcPr>
            <w:tcW w:w="115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получателей услуг, которые готовы рекомендовать организацию культуры родственникам и знакомым (могли бы ее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рекомендовать, если бы была возможность выбора организации)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организационными условиями оказания услуг (графиком и режимом работы) организации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A48C3" w:rsidRDefault="009A48C3"/>
        </w:tc>
        <w:tc>
          <w:tcPr>
            <w:tcW w:w="115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A48C3" w:rsidRDefault="00AE3D6E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получателей услуг, удовлетворенных в целом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условиями оказания услуг в организации культуры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9A48C3" w:rsidRDefault="00AE3D6E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AE3D6E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9A48C3" w:rsidRDefault="009A48C3">
            <w:pPr>
              <w:wordWrap w:val="0"/>
            </w:pPr>
          </w:p>
        </w:tc>
      </w:tr>
      <w:tr w:rsidR="009A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условиями оказания услуг зависит от совокупности факторов, в том числе рассматриваемых в рамках независимой оценки качества.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Важным направлением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повышения уровня удовлетворенности выступает диалог с получателями услуг, в ходе которого можно определить причины недовольства, выявить недостатки в работе организации, найти оптимальные варианты решения проблем.</w:t>
            </w:r>
          </w:p>
          <w:p w:rsidR="009A48C3" w:rsidRDefault="00AE3D6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 удовлетворенности получателей услуг разными аспектами условий оказания услуг, тренинги с сотрудниками организации, повышающие коммуникативные компетенции и снижающие риск возникновения синдрома профессионального выгорания.</w:t>
            </w:r>
          </w:p>
        </w:tc>
      </w:tr>
    </w:tbl>
    <w:p w:rsidR="00AE3D6E" w:rsidRDefault="00AE3D6E"/>
    <w:sectPr w:rsidR="00AE3D6E">
      <w:footerReference w:type="default" r:id="rId6"/>
      <w:footerReference w:type="first" r:id="rId7"/>
      <w:pgSz w:w="11907" w:h="16839"/>
      <w:pgMar w:top="567" w:right="567" w:bottom="56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6E" w:rsidRDefault="00AE3D6E">
      <w:pPr>
        <w:spacing w:after="0" w:line="240" w:lineRule="auto"/>
      </w:pPr>
      <w:r>
        <w:separator/>
      </w:r>
    </w:p>
  </w:endnote>
  <w:endnote w:type="continuationSeparator" w:id="0">
    <w:p w:rsidR="00AE3D6E" w:rsidRDefault="00A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588159"/>
      <w:docPartObj>
        <w:docPartGallery w:val="Page Numbers (Top of Page)"/>
      </w:docPartObj>
    </w:sdtPr>
    <w:sdtEndPr/>
    <w:sdtContent>
      <w:p w:rsidR="009A48C3" w:rsidRDefault="00AE3D6E"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6E048A">
          <w:rPr>
            <w:rFonts w:ascii="Arial" w:hAnsi="Arial"/>
            <w:color w:val="000000"/>
            <w:sz w:val="16"/>
          </w:rPr>
          <w:fldChar w:fldCharType="separate"/>
        </w:r>
        <w:r w:rsidR="00943F48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9A48C3" w:rsidRDefault="009A48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648745"/>
      <w:docPartObj>
        <w:docPartGallery w:val="Page Numbers (Top of Page)"/>
      </w:docPartObj>
    </w:sdtPr>
    <w:sdtEndPr/>
    <w:sdtContent>
      <w:p w:rsidR="009A48C3" w:rsidRDefault="00AE3D6E"/>
    </w:sdtContent>
  </w:sdt>
  <w:p w:rsidR="009A48C3" w:rsidRDefault="009A48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6E" w:rsidRDefault="00AE3D6E">
      <w:pPr>
        <w:spacing w:after="0" w:line="240" w:lineRule="auto"/>
      </w:pPr>
      <w:r>
        <w:separator/>
      </w:r>
    </w:p>
  </w:footnote>
  <w:footnote w:type="continuationSeparator" w:id="0">
    <w:p w:rsidR="00AE3D6E" w:rsidRDefault="00AE3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C3"/>
    <w:rsid w:val="006E048A"/>
    <w:rsid w:val="00943F48"/>
    <w:rsid w:val="009A48C3"/>
    <w:rsid w:val="00A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1DAC8-231E-4763-9854-2739DD1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Анна Сергеевна</dc:creator>
  <cp:lastModifiedBy>Дунаева Анна Сергеевна</cp:lastModifiedBy>
  <cp:revision>2</cp:revision>
  <dcterms:created xsi:type="dcterms:W3CDTF">2024-01-23T05:48:00Z</dcterms:created>
  <dcterms:modified xsi:type="dcterms:W3CDTF">2024-01-23T05:48:00Z</dcterms:modified>
</cp:coreProperties>
</file>